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0" w:rsidRPr="00390130" w:rsidRDefault="00390130" w:rsidP="00390130">
      <w:pPr>
        <w:spacing w:after="20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390130">
        <w:rPr>
          <w:b/>
          <w:bCs/>
          <w:color w:val="000000"/>
          <w:sz w:val="24"/>
          <w:szCs w:val="24"/>
        </w:rPr>
        <w:t xml:space="preserve">Прекращение трудового договора вследствие нарушения </w:t>
      </w:r>
      <w:bookmarkStart w:id="0" w:name="_GoBack"/>
      <w:bookmarkEnd w:id="0"/>
      <w:r w:rsidRPr="00390130">
        <w:rPr>
          <w:b/>
          <w:bCs/>
          <w:color w:val="000000"/>
          <w:sz w:val="24"/>
          <w:szCs w:val="24"/>
        </w:rPr>
        <w:t>установленных Трудовым кодексом или иными федеральными законами обязательных правил при заключении трудового договора</w:t>
      </w:r>
    </w:p>
    <w:p w:rsidR="00390130" w:rsidRPr="00390130" w:rsidRDefault="00390130" w:rsidP="0039013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90130">
        <w:rPr>
          <w:color w:val="000000"/>
          <w:sz w:val="24"/>
          <w:szCs w:val="24"/>
        </w:rPr>
        <w:t> </w:t>
      </w:r>
    </w:p>
    <w:p w:rsidR="00390130" w:rsidRPr="00390130" w:rsidRDefault="00911527" w:rsidP="0039013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Согласно ст. 8 </w:t>
      </w:r>
      <w:r w:rsidR="00390130" w:rsidRPr="00390130">
        <w:rPr>
          <w:color w:val="000000"/>
          <w:sz w:val="24"/>
          <w:szCs w:val="24"/>
        </w:rPr>
        <w:t xml:space="preserve">Трудового кодекса РФ трудовой </w:t>
      </w:r>
      <w:r>
        <w:rPr>
          <w:color w:val="000000"/>
          <w:sz w:val="24"/>
          <w:szCs w:val="24"/>
        </w:rPr>
        <w:t xml:space="preserve">договор прекращается </w:t>
      </w:r>
      <w:r w:rsidR="00390130" w:rsidRPr="00390130">
        <w:rPr>
          <w:color w:val="000000"/>
          <w:sz w:val="24"/>
          <w:szCs w:val="24"/>
        </w:rPr>
        <w:t>вследствие  нарушения  установленных Трудового кодекса РФ</w:t>
      </w:r>
      <w:r>
        <w:rPr>
          <w:color w:val="000000"/>
          <w:sz w:val="24"/>
          <w:szCs w:val="24"/>
        </w:rPr>
        <w:t xml:space="preserve"> </w:t>
      </w:r>
      <w:r w:rsidR="00390130" w:rsidRPr="00390130">
        <w:rPr>
          <w:color w:val="000000"/>
          <w:sz w:val="24"/>
          <w:szCs w:val="24"/>
        </w:rPr>
        <w:t>или иным  федеральным  законом правил  его  заключения (п. 11  ст.  77 Трудового кодекса РФ),  если  нарушение этих</w:t>
      </w:r>
      <w:r>
        <w:rPr>
          <w:color w:val="000000"/>
          <w:sz w:val="24"/>
          <w:szCs w:val="24"/>
        </w:rPr>
        <w:t xml:space="preserve"> </w:t>
      </w:r>
      <w:r w:rsidR="00390130" w:rsidRPr="00390130">
        <w:rPr>
          <w:color w:val="000000"/>
          <w:sz w:val="24"/>
          <w:szCs w:val="24"/>
        </w:rPr>
        <w:t>правил исключает</w:t>
      </w:r>
      <w:r>
        <w:rPr>
          <w:color w:val="000000"/>
          <w:sz w:val="24"/>
          <w:szCs w:val="24"/>
        </w:rPr>
        <w:t xml:space="preserve"> возможность продолжения </w:t>
      </w:r>
      <w:r w:rsidR="00390130" w:rsidRPr="00390130">
        <w:rPr>
          <w:color w:val="000000"/>
          <w:sz w:val="24"/>
          <w:szCs w:val="24"/>
        </w:rPr>
        <w:t>работы,  в  следующих  случаях:</w:t>
      </w:r>
    </w:p>
    <w:p w:rsidR="00390130" w:rsidRPr="00390130" w:rsidRDefault="00911527" w:rsidP="0039013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1. </w:t>
      </w:r>
      <w:r w:rsidR="00390130" w:rsidRPr="00390130">
        <w:rPr>
          <w:color w:val="000000"/>
          <w:sz w:val="24"/>
          <w:szCs w:val="24"/>
        </w:rPr>
        <w:t>Заключение трудового договора в нарушение приговора суда о лишении конкретного лица права занимать определенные должности или заниматься  определенной  деятельностью. Согласно Уголовному кодексу Российской Федерации от 13.06.1996 № 63-ФЗ (далее – Уголовный кодекс РФ) лишение права заниматься определенной деятельностью или занимать определенную должность состоит  в  запрещении занимать должности на</w:t>
      </w:r>
      <w:r>
        <w:rPr>
          <w:color w:val="000000"/>
          <w:sz w:val="24"/>
          <w:szCs w:val="24"/>
        </w:rPr>
        <w:t xml:space="preserve"> </w:t>
      </w:r>
      <w:r w:rsidR="00390130" w:rsidRPr="00390130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="00390130" w:rsidRPr="00390130">
        <w:rPr>
          <w:color w:val="000000"/>
          <w:sz w:val="24"/>
          <w:szCs w:val="24"/>
        </w:rPr>
        <w:t>службе,  в  органах </w:t>
      </w:r>
      <w:r>
        <w:rPr>
          <w:color w:val="000000"/>
          <w:sz w:val="24"/>
          <w:szCs w:val="24"/>
        </w:rPr>
        <w:t xml:space="preserve"> местного самоуправления либо </w:t>
      </w:r>
      <w:r w:rsidR="00390130" w:rsidRPr="00390130">
        <w:rPr>
          <w:color w:val="000000"/>
          <w:sz w:val="24"/>
          <w:szCs w:val="24"/>
        </w:rPr>
        <w:t>заниматься</w:t>
      </w:r>
      <w:r>
        <w:rPr>
          <w:color w:val="000000"/>
          <w:sz w:val="24"/>
          <w:szCs w:val="24"/>
        </w:rPr>
        <w:t xml:space="preserve"> </w:t>
      </w:r>
      <w:r w:rsidR="00390130" w:rsidRPr="00390130">
        <w:rPr>
          <w:color w:val="000000"/>
          <w:sz w:val="24"/>
          <w:szCs w:val="24"/>
        </w:rPr>
        <w:t>определенной профессиональной</w:t>
      </w:r>
      <w:r>
        <w:rPr>
          <w:color w:val="000000"/>
          <w:sz w:val="24"/>
          <w:szCs w:val="24"/>
        </w:rPr>
        <w:t xml:space="preserve"> </w:t>
      </w:r>
      <w:r w:rsidR="00390130" w:rsidRPr="00390130">
        <w:rPr>
          <w:color w:val="000000"/>
          <w:sz w:val="24"/>
          <w:szCs w:val="24"/>
        </w:rPr>
        <w:t>или иной деятельностью (например,  врачебной или иной медицинской, педагогической деятельностью). Лишение  вышеуказанных  прав устанавливается на  срок от 1 года до 5 лет  в  качестве  основного  и  на срок от 6 месяцев  до 3 лет – в</w:t>
      </w:r>
      <w:r>
        <w:rPr>
          <w:color w:val="000000"/>
          <w:sz w:val="24"/>
          <w:szCs w:val="24"/>
        </w:rPr>
        <w:t xml:space="preserve"> качестве  дополнительного вида </w:t>
      </w:r>
      <w:r w:rsidR="00390130" w:rsidRPr="00390130">
        <w:rPr>
          <w:color w:val="000000"/>
          <w:sz w:val="24"/>
          <w:szCs w:val="24"/>
        </w:rPr>
        <w:t>наказания.  В  связи  с  этим  правила ст. 84 Трудового кодекса РФ должны применяться только в течение  данного срока;</w:t>
      </w:r>
    </w:p>
    <w:p w:rsidR="00390130" w:rsidRPr="00390130" w:rsidRDefault="00390130" w:rsidP="0039013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90130">
        <w:rPr>
          <w:color w:val="000000"/>
          <w:sz w:val="24"/>
          <w:szCs w:val="24"/>
        </w:rPr>
        <w:t>2. </w:t>
      </w:r>
      <w:r w:rsidR="00911527" w:rsidRPr="00390130">
        <w:rPr>
          <w:color w:val="000000"/>
          <w:sz w:val="24"/>
          <w:szCs w:val="24"/>
        </w:rPr>
        <w:t xml:space="preserve"> </w:t>
      </w:r>
      <w:r w:rsidRPr="00390130">
        <w:rPr>
          <w:color w:val="000000"/>
          <w:sz w:val="24"/>
          <w:szCs w:val="24"/>
        </w:rPr>
        <w:t>Заключение  трудового договора на выполнение  работы,  противопоказанной  данному работнику по состоянию здоровья в соответствии с  медицинским  заключением, выданным в порядке, установленном законами и иными нормативными правовыми актами РФ.   Заключение  такого рода  может быть выдано  лишь  тем  органом  или учреждением,  которому это право  предоставлено (например,  экспертными комиссиями,  учреждениями  службы  медицинской социальной экспертизы  и др.);</w:t>
      </w:r>
    </w:p>
    <w:p w:rsidR="00390130" w:rsidRPr="00390130" w:rsidRDefault="00390130" w:rsidP="0039013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90130">
        <w:rPr>
          <w:color w:val="000000"/>
          <w:sz w:val="24"/>
          <w:szCs w:val="24"/>
        </w:rPr>
        <w:t>3. </w:t>
      </w:r>
      <w:r w:rsidR="00911527" w:rsidRPr="00390130">
        <w:rPr>
          <w:color w:val="000000"/>
          <w:sz w:val="24"/>
          <w:szCs w:val="24"/>
        </w:rPr>
        <w:t xml:space="preserve"> </w:t>
      </w:r>
      <w:r w:rsidRPr="00390130">
        <w:rPr>
          <w:color w:val="000000"/>
          <w:sz w:val="24"/>
          <w:szCs w:val="24"/>
        </w:rPr>
        <w:t>Отсутствие соответствующего документа об образовании, если выполнение  работы  требует  специальных  знаний  в соответств</w:t>
      </w:r>
      <w:r w:rsidR="00911527">
        <w:rPr>
          <w:color w:val="000000"/>
          <w:sz w:val="24"/>
          <w:szCs w:val="24"/>
        </w:rPr>
        <w:t xml:space="preserve">ии с федеральным </w:t>
      </w:r>
      <w:r w:rsidRPr="00390130">
        <w:rPr>
          <w:color w:val="000000"/>
          <w:sz w:val="24"/>
          <w:szCs w:val="24"/>
        </w:rPr>
        <w:t>законом  или иным  нормативным  правовым  актом (например, право на занятие медицинской и фармакологической деятельностью имеют лица, получившие высшее или среднее медицинское  и фармацевтическое  образование, а занятие определенными видами  деятельности – также сертификаты специалиста и лицензию; к педагогической  деятельности  </w:t>
      </w:r>
      <w:r w:rsidR="00911527">
        <w:rPr>
          <w:color w:val="000000"/>
          <w:sz w:val="24"/>
          <w:szCs w:val="24"/>
        </w:rPr>
        <w:t xml:space="preserve">допускаются только те лица, </w:t>
      </w:r>
      <w:r w:rsidRPr="00390130">
        <w:rPr>
          <w:color w:val="000000"/>
          <w:sz w:val="24"/>
          <w:szCs w:val="24"/>
        </w:rPr>
        <w:t>котор</w:t>
      </w:r>
      <w:r w:rsidR="00911527">
        <w:rPr>
          <w:color w:val="000000"/>
          <w:sz w:val="24"/>
          <w:szCs w:val="24"/>
        </w:rPr>
        <w:t xml:space="preserve">ые имеют образовательный ценз, </w:t>
      </w:r>
      <w:r w:rsidRPr="00390130">
        <w:rPr>
          <w:color w:val="000000"/>
          <w:sz w:val="24"/>
          <w:szCs w:val="24"/>
        </w:rPr>
        <w:t>соответствующий  типу  и виду  образовательного учреждения  и др.);</w:t>
      </w:r>
    </w:p>
    <w:p w:rsidR="00390130" w:rsidRPr="00390130" w:rsidRDefault="00911527" w:rsidP="0039013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4.</w:t>
      </w:r>
      <w:r w:rsidRPr="00390130">
        <w:rPr>
          <w:color w:val="000000"/>
          <w:sz w:val="24"/>
          <w:szCs w:val="24"/>
        </w:rPr>
        <w:t xml:space="preserve"> </w:t>
      </w:r>
      <w:r w:rsidR="00390130" w:rsidRPr="00390130">
        <w:rPr>
          <w:color w:val="000000"/>
          <w:sz w:val="24"/>
          <w:szCs w:val="24"/>
        </w:rPr>
        <w:t>Заключение трудового договора в нарушение постановления судьи, органа, должностного лица, уполномоченных рассматривать дела об административных правонарушениях, о дисквалификации или ином административном наказании, исключающем возможность исполнения работником обязанностей по трудовому договору;</w:t>
      </w:r>
    </w:p>
    <w:p w:rsidR="00390130" w:rsidRPr="00390130" w:rsidRDefault="00390130" w:rsidP="0039013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90130">
        <w:rPr>
          <w:color w:val="000000"/>
          <w:sz w:val="24"/>
          <w:szCs w:val="24"/>
        </w:rPr>
        <w:t>5. </w:t>
      </w:r>
      <w:r w:rsidR="00911527" w:rsidRPr="00390130">
        <w:rPr>
          <w:color w:val="000000"/>
          <w:sz w:val="24"/>
          <w:szCs w:val="24"/>
        </w:rPr>
        <w:t xml:space="preserve"> </w:t>
      </w:r>
      <w:r w:rsidRPr="00390130">
        <w:rPr>
          <w:color w:val="000000"/>
          <w:sz w:val="24"/>
          <w:szCs w:val="24"/>
        </w:rPr>
        <w:t>В других случаях, предусмотренных федеральными законами.</w:t>
      </w:r>
    </w:p>
    <w:p w:rsidR="00390130" w:rsidRPr="00390130" w:rsidRDefault="00390130" w:rsidP="0039013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90130">
        <w:rPr>
          <w:color w:val="000000"/>
          <w:sz w:val="24"/>
          <w:szCs w:val="24"/>
        </w:rPr>
        <w:t>________________________________________</w:t>
      </w:r>
    </w:p>
    <w:p w:rsidR="00390130" w:rsidRPr="00390130" w:rsidRDefault="00390130" w:rsidP="00390130">
      <w:pPr>
        <w:spacing w:after="20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90130">
        <w:rPr>
          <w:color w:val="000000"/>
          <w:sz w:val="24"/>
          <w:szCs w:val="24"/>
        </w:rPr>
        <w:t>Прекращение  трудового договора</w:t>
      </w:r>
      <w:r w:rsidR="00911527">
        <w:rPr>
          <w:color w:val="000000"/>
          <w:sz w:val="24"/>
          <w:szCs w:val="24"/>
        </w:rPr>
        <w:t xml:space="preserve"> в случаях, указанных выше, </w:t>
      </w:r>
      <w:r w:rsidRPr="00390130">
        <w:rPr>
          <w:color w:val="000000"/>
          <w:sz w:val="24"/>
          <w:szCs w:val="24"/>
        </w:rPr>
        <w:t>производит</w:t>
      </w:r>
      <w:r w:rsidR="00911527">
        <w:rPr>
          <w:color w:val="000000"/>
          <w:sz w:val="24"/>
          <w:szCs w:val="24"/>
        </w:rPr>
        <w:t xml:space="preserve">ся,  если невозможно перевести работника с </w:t>
      </w:r>
      <w:r w:rsidRPr="00390130">
        <w:rPr>
          <w:color w:val="000000"/>
          <w:sz w:val="24"/>
          <w:szCs w:val="24"/>
        </w:rPr>
        <w:t xml:space="preserve">его письменного согласия  на  другую  имеющуюся  у  работодателя работу (как вакантную должность или </w:t>
      </w:r>
      <w:r w:rsidRPr="00390130">
        <w:rPr>
          <w:color w:val="000000"/>
          <w:sz w:val="24"/>
          <w:szCs w:val="24"/>
        </w:rPr>
        <w:lastRenderedPageBreak/>
        <w:t>работу, соответствующую квалификации работника, так и вакантную нижестоящую должность или нижеоплачиваемую работу), которую работник может выполнить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327DDD" w:rsidRDefault="00390130" w:rsidP="00911527">
      <w:pPr>
        <w:jc w:val="both"/>
      </w:pPr>
      <w:r>
        <w:rPr>
          <w:color w:val="000000"/>
        </w:rPr>
        <w:t>Если нарушение установленных Трудовым кодексом РФ или иным федеральным законом правил заключения трудового договора допущено не по вине работника, то работодатель  выплачивает  работнику  выходное пособие  в  размере  среднего  месячного  заработка  (ст. 84 Трудового кодекса РФ).  Если  нарушение указанных правил  допущено  по  вине  работника, то работодатель не обязан предлагать ему другую работу, а выходное пособие работнику не выплачивается.</w:t>
      </w:r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A5"/>
    <w:rsid w:val="00327DDD"/>
    <w:rsid w:val="00390130"/>
    <w:rsid w:val="00390917"/>
    <w:rsid w:val="00911527"/>
    <w:rsid w:val="00B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2020-04-22T09:56:00Z</dcterms:created>
  <dcterms:modified xsi:type="dcterms:W3CDTF">2020-06-23T07:36:00Z</dcterms:modified>
</cp:coreProperties>
</file>