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8F" w:rsidRPr="0074688F" w:rsidRDefault="0074688F" w:rsidP="0074688F">
      <w:pPr>
        <w:spacing w:after="200" w:line="253" w:lineRule="atLeast"/>
        <w:jc w:val="center"/>
        <w:rPr>
          <w:rFonts w:ascii="Calibri" w:hAnsi="Calibri" w:cs="Calibri"/>
          <w:color w:val="000000"/>
          <w:sz w:val="22"/>
          <w:szCs w:val="22"/>
        </w:rPr>
      </w:pPr>
      <w:r w:rsidRPr="0074688F">
        <w:rPr>
          <w:b/>
          <w:bCs/>
          <w:color w:val="000000"/>
          <w:sz w:val="24"/>
          <w:szCs w:val="24"/>
        </w:rPr>
        <w:t>Защита трудовых прав работников</w:t>
      </w:r>
    </w:p>
    <w:p w:rsidR="0074688F" w:rsidRPr="0074688F" w:rsidRDefault="0074688F" w:rsidP="0074688F">
      <w:pPr>
        <w:spacing w:after="200" w:line="253" w:lineRule="atLeast"/>
        <w:jc w:val="both"/>
        <w:rPr>
          <w:rFonts w:ascii="Calibri" w:hAnsi="Calibri" w:cs="Calibri"/>
          <w:color w:val="000000"/>
          <w:sz w:val="22"/>
          <w:szCs w:val="22"/>
        </w:rPr>
      </w:pPr>
      <w:r w:rsidRPr="0074688F">
        <w:rPr>
          <w:b/>
          <w:bCs/>
          <w:color w:val="000000"/>
          <w:sz w:val="24"/>
          <w:szCs w:val="24"/>
        </w:rPr>
        <w:t> </w:t>
      </w:r>
    </w:p>
    <w:p w:rsidR="0074688F" w:rsidRPr="0074688F" w:rsidRDefault="0074688F" w:rsidP="0074688F">
      <w:pPr>
        <w:spacing w:after="200" w:line="253" w:lineRule="atLeast"/>
        <w:jc w:val="both"/>
        <w:rPr>
          <w:rFonts w:ascii="Calibri" w:hAnsi="Calibri" w:cs="Calibri"/>
          <w:color w:val="000000"/>
          <w:sz w:val="22"/>
          <w:szCs w:val="22"/>
        </w:rPr>
      </w:pPr>
      <w:r w:rsidRPr="0074688F">
        <w:rPr>
          <w:b/>
          <w:bCs/>
          <w:color w:val="000000"/>
          <w:sz w:val="24"/>
          <w:szCs w:val="24"/>
        </w:rPr>
        <w:t>Общие положения          </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В  соответствии  со  ст.  45  Конституции РФ, принятой на всенародном голосовании 12.12.1993  гражданам РФ гарантируется защита  прав и свобод человека. Статья  352  Трудового кодекса РФ устанавливает, что каждый имеет право защищать свои права и свободы всеми способами, не запрещенными законом.</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Основными способами защиты  трудовых  прав и свобод являются:</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самозащита  работниками трудовых  прав;</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защита трудовых  прав и законных интересов работников  профессиональными союзами;</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государственный  надзор и контроль  соблюдения  трудового законодательства и иных нормативных правовых актов, содержащих нормы трудового права;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судебная защита.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b/>
          <w:bCs/>
          <w:color w:val="000000"/>
          <w:sz w:val="24"/>
          <w:szCs w:val="24"/>
        </w:rPr>
        <w:t>Государственный контроль и надзор  за  соблюдением трудового законодательства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Государственный надзор и контроль соблюдения трудового законодательства  и иных  нормативных  правовых  актов,  содержащих  нормы  трудового права,  всеми работодателями  на  территории Российской  Федерации  осуществляет  федеральная  </w:t>
      </w:r>
      <w:r w:rsidRPr="0074688F">
        <w:rPr>
          <w:i/>
          <w:color w:val="000000"/>
          <w:sz w:val="24"/>
          <w:szCs w:val="24"/>
        </w:rPr>
        <w:t>инспекция труда</w:t>
      </w:r>
      <w:r w:rsidRPr="0074688F">
        <w:rPr>
          <w:color w:val="000000"/>
          <w:sz w:val="24"/>
          <w:szCs w:val="24"/>
        </w:rPr>
        <w:t>. Внутриведомственный государственный  контроль  соблюдения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субъектов  Российской  Федерации, а также  органы  местного  самоуправления в порядке и на условиях, определяемых федеральными законами и законами субъектов РФ.</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w:t>
      </w:r>
      <w:r w:rsidRPr="0074688F">
        <w:rPr>
          <w:i/>
          <w:color w:val="000000"/>
          <w:sz w:val="24"/>
          <w:szCs w:val="24"/>
        </w:rPr>
        <w:t>Генеральный  прокурор РФ  и  подчиненные  ему    прокуроры  в  соответствии с  федеральным  законом</w:t>
      </w:r>
      <w:r w:rsidRPr="0074688F">
        <w:rPr>
          <w:color w:val="000000"/>
          <w:sz w:val="24"/>
          <w:szCs w:val="24"/>
        </w:rPr>
        <w:t xml:space="preserve"> (ст. 353 Трудового кодекса РФ). Органы прокуратуры осуществляют надзор за исполнением  законов   федеральными  министрами  и службами, иными федеральными органами исполнительной власти,   представительными  (законодательными)  и  исполнительными  органами  субъектов  РФ,   органами  местного  самоуправления,  органами  контроля,  их  должностными лицами,  органами  управления и руководителями  коммерческих  и </w:t>
      </w:r>
      <w:r w:rsidRPr="0074688F">
        <w:rPr>
          <w:color w:val="000000"/>
          <w:sz w:val="24"/>
          <w:szCs w:val="24"/>
        </w:rPr>
        <w:lastRenderedPageBreak/>
        <w:t>некоммерческих  организаций.  </w:t>
      </w:r>
      <w:r w:rsidRPr="0074688F">
        <w:rPr>
          <w:i/>
          <w:color w:val="000000"/>
          <w:sz w:val="24"/>
          <w:szCs w:val="24"/>
        </w:rPr>
        <w:t>При  осуществлении надзора  за  исполнением  законов  и иных нормативных правовых  актов  о  труде  органы  прокуратуры не подменяют  другие  надзорные и контрольные  органы</w:t>
      </w:r>
      <w:r w:rsidRPr="0074688F">
        <w:rPr>
          <w:color w:val="000000"/>
          <w:sz w:val="24"/>
          <w:szCs w:val="24"/>
        </w:rPr>
        <w:t>.   Наделенные  определенными властными полномочиями,  органы прокуратуры  не  вправе  вмешиваться в  оперативную  деятельность поднадзорных объектов.  Прокурор  вносит   представление об устранении  нарушений  трудовых  прав работника  в  орган  или должностному  лицу,  которые  </w:t>
      </w:r>
      <w:proofErr w:type="gramStart"/>
      <w:r w:rsidRPr="0074688F">
        <w:rPr>
          <w:color w:val="000000"/>
          <w:sz w:val="24"/>
          <w:szCs w:val="24"/>
        </w:rPr>
        <w:t>полномочны</w:t>
      </w:r>
      <w:proofErr w:type="gramEnd"/>
      <w:r w:rsidRPr="0074688F">
        <w:rPr>
          <w:color w:val="000000"/>
          <w:sz w:val="24"/>
          <w:szCs w:val="24"/>
        </w:rPr>
        <w:t>  устранить  допущенные  нарушения  (федеральный закон от 17.01.1992 № 2202-I "О прокуратуре РФ").</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b/>
          <w:bCs/>
          <w:color w:val="000000"/>
          <w:sz w:val="24"/>
          <w:szCs w:val="24"/>
        </w:rPr>
        <w:t>Федеральная  инспекция  труда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xml:space="preserve">Федеральная инспекция труда (ст. 354 Трудового кодекса РФ) – единая централизованная  система,  состоящая из федерального органа исполнительной власти, уполномоченного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 </w:t>
      </w:r>
      <w:proofErr w:type="spellStart"/>
      <w:r w:rsidRPr="0074688F">
        <w:rPr>
          <w:color w:val="000000"/>
          <w:sz w:val="24"/>
          <w:szCs w:val="24"/>
        </w:rPr>
        <w:t>и</w:t>
      </w:r>
      <w:proofErr w:type="spellEnd"/>
      <w:r w:rsidRPr="0074688F">
        <w:rPr>
          <w:color w:val="000000"/>
          <w:sz w:val="24"/>
          <w:szCs w:val="24"/>
        </w:rPr>
        <w:t xml:space="preserve"> его территориальных органов (Государственных инспекций труда). 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РФ, назначаемый на должность и освобождаемый от должности Правительством РФ. Деятельность федеральной  инспекции  труда  и  ее должностных  лиц  осуществляется  на   основании принципов  уважения,  соблюдения и защиты  прав и свобод  человека и гражданина,  законности,  объективности,   независимости  и  гласности (ст. 355 Трудового кодекса РФ).</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b/>
          <w:bCs/>
          <w:color w:val="000000"/>
          <w:sz w:val="24"/>
          <w:szCs w:val="24"/>
        </w:rPr>
        <w:t>Основными задачами  федеральной  инспекции труда  являются:</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обеспечение соблюдения  и  защита трудовых  прав  и свобод  граждан,  включая  право  на  безопасные  условия  труда;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обеспечение  соблюдения  работодателем  трудового  законодательства и  иных  нормативных  правовых  актов,  содержащих  нормы  трудового  права;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доведение  до сведения  соответствующих  органов государственной  власти  фактов  нарушений,  действий  (бездействия)  или  злоупотреблений,  которые  не  попадают  под  действие  трудового законодательства и иных  нормативных  правовых  актов,  содержащих  нормы  трудового  права.</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xml:space="preserve">Основные  права  государственной  инспекции труда,  их  обязанности и порядок  инспектирования  организаций  изложены  в  ст. 357,  358,  360  Трудового кодекса РФ. В соответствии со ст. 359 Трудового кодекса РФ государственные </w:t>
      </w:r>
      <w:r w:rsidRPr="0074688F">
        <w:rPr>
          <w:color w:val="000000"/>
          <w:sz w:val="24"/>
          <w:szCs w:val="24"/>
        </w:rPr>
        <w:lastRenderedPageBreak/>
        <w:t>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  (ст.  359  Трудового кодекса РФ). В соответствии со ст. 362, 363 Трудового кодекса РФ 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Трудового кодекса РФ и иными федеральными законами.  </w:t>
      </w:r>
      <w:proofErr w:type="gramStart"/>
      <w:r w:rsidRPr="0074688F">
        <w:rPr>
          <w:color w:val="000000"/>
          <w:sz w:val="24"/>
          <w:szCs w:val="24"/>
        </w:rPr>
        <w:t>Лица,  препятствующие  осуществлению  государственного   надзора и контроля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  (ст.   362,  363  Трудового кодекса РФ).</w:t>
      </w:r>
      <w:proofErr w:type="gramEnd"/>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________________________________________</w:t>
      </w:r>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Решения  государственных  инспекторов  труда  могут быть  обжалованы  у соответствующего  руководителя  по  подчиненности,  главного  государственного  инспектора  труда  РФ  и  (или)  в  суде. Решения  главного  государственного   инспектора  труда  РФ  могут  быть  обжалованы  в  судебном порядке.    За  противоправные  действия  или  бездействие  государственные  инспекторы  труда  несут  ответственность,  установленную  федеральными законами  (ст.  361,  364  Трудового кодекса РФ). </w:t>
      </w:r>
      <w:proofErr w:type="gramStart"/>
      <w:r w:rsidRPr="0074688F">
        <w:rPr>
          <w:color w:val="000000"/>
          <w:sz w:val="24"/>
          <w:szCs w:val="24"/>
        </w:rPr>
        <w:t>В  соответствии со  ст.  365  Трудового кодекса РФ 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контролю и надзору в установленной сфере деятельности, иными федеральными органами исполнительной власти, органами  исполнительной  власти  субъектов  РФ,  органами местного управления, органами прокуратуры,  профессиональными союзами  (их  объединениями), объединениями  работодателей,  другими организациями (ст.  365  Трудового кодекса РФ).</w:t>
      </w:r>
      <w:proofErr w:type="gramEnd"/>
    </w:p>
    <w:p w:rsidR="0074688F" w:rsidRPr="0074688F" w:rsidRDefault="0074688F" w:rsidP="0074688F">
      <w:pPr>
        <w:spacing w:after="200" w:line="253" w:lineRule="atLeast"/>
        <w:jc w:val="both"/>
        <w:rPr>
          <w:rFonts w:ascii="Calibri" w:hAnsi="Calibri" w:cs="Calibri"/>
          <w:color w:val="000000"/>
          <w:sz w:val="22"/>
          <w:szCs w:val="22"/>
        </w:rPr>
      </w:pPr>
      <w:r w:rsidRPr="0074688F">
        <w:rPr>
          <w:color w:val="000000"/>
          <w:sz w:val="24"/>
          <w:szCs w:val="24"/>
        </w:rPr>
        <w:t> </w:t>
      </w:r>
    </w:p>
    <w:p w:rsidR="00327DDD" w:rsidRDefault="00327DDD">
      <w:bookmarkStart w:id="0" w:name="_GoBack"/>
      <w:bookmarkEnd w:id="0"/>
    </w:p>
    <w:sectPr w:rsidR="00327D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B7"/>
    <w:rsid w:val="00327DDD"/>
    <w:rsid w:val="00390917"/>
    <w:rsid w:val="006A13B7"/>
    <w:rsid w:val="00746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1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90917"/>
    <w:rPr>
      <w:b/>
      <w:bCs/>
    </w:rPr>
  </w:style>
  <w:style w:type="character" w:styleId="a4">
    <w:name w:val="Emphasis"/>
    <w:qFormat/>
    <w:rsid w:val="00390917"/>
    <w:rPr>
      <w:i/>
      <w:iCs/>
    </w:rPr>
  </w:style>
  <w:style w:type="paragraph" w:styleId="a5">
    <w:name w:val="No Spacing"/>
    <w:qFormat/>
    <w:rsid w:val="00390917"/>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72023">
      <w:bodyDiv w:val="1"/>
      <w:marLeft w:val="0"/>
      <w:marRight w:val="0"/>
      <w:marTop w:val="0"/>
      <w:marBottom w:val="0"/>
      <w:divBdr>
        <w:top w:val="none" w:sz="0" w:space="0" w:color="auto"/>
        <w:left w:val="none" w:sz="0" w:space="0" w:color="auto"/>
        <w:bottom w:val="none" w:sz="0" w:space="0" w:color="auto"/>
        <w:right w:val="none" w:sz="0" w:space="0" w:color="auto"/>
      </w:divBdr>
    </w:div>
    <w:div w:id="243804550">
      <w:bodyDiv w:val="1"/>
      <w:marLeft w:val="0"/>
      <w:marRight w:val="0"/>
      <w:marTop w:val="0"/>
      <w:marBottom w:val="0"/>
      <w:divBdr>
        <w:top w:val="none" w:sz="0" w:space="0" w:color="auto"/>
        <w:left w:val="none" w:sz="0" w:space="0" w:color="auto"/>
        <w:bottom w:val="none" w:sz="0" w:space="0" w:color="auto"/>
        <w:right w:val="none" w:sz="0" w:space="0" w:color="auto"/>
      </w:divBdr>
    </w:div>
    <w:div w:id="154390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2020-04-22T11:16:00Z</dcterms:created>
  <dcterms:modified xsi:type="dcterms:W3CDTF">2020-04-22T11:24:00Z</dcterms:modified>
</cp:coreProperties>
</file>